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930E" w14:textId="244D27B9" w:rsidR="000A697A" w:rsidRDefault="00D9579C" w:rsidP="00D9579C">
      <w:pPr>
        <w:spacing w:before="173"/>
        <w:jc w:val="center"/>
        <w:rPr>
          <w:rFonts w:ascii="Arial" w:hAnsi="Arial" w:cs="Arial"/>
          <w:b/>
          <w:sz w:val="36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eastAsia="en-GB"/>
        </w:rPr>
        <w:drawing>
          <wp:inline distT="0" distB="0" distL="0" distR="0" wp14:anchorId="3EF9A9BE" wp14:editId="10608C68">
            <wp:extent cx="2090058" cy="1175657"/>
            <wp:effectExtent l="0" t="0" r="5715" b="5715"/>
            <wp:docPr id="2" name="image1.jpeg" descr="Knowsle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Knowsley Council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723" cy="119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2940" w14:textId="77777777" w:rsidR="00D9579C" w:rsidRDefault="00D9579C" w:rsidP="00D9579C">
      <w:pPr>
        <w:jc w:val="center"/>
        <w:rPr>
          <w:rFonts w:ascii="Tahoma" w:hAnsi="Tahoma" w:cs="Tahoma"/>
          <w:b/>
          <w:color w:val="C00000"/>
          <w:sz w:val="44"/>
          <w:szCs w:val="44"/>
        </w:rPr>
      </w:pPr>
    </w:p>
    <w:p w14:paraId="15C6BA6F" w14:textId="1A80B5BE" w:rsidR="00D9579C" w:rsidRPr="00703B05" w:rsidRDefault="00D9579C" w:rsidP="00D9579C">
      <w:pPr>
        <w:jc w:val="center"/>
        <w:rPr>
          <w:rFonts w:ascii="Tahoma" w:hAnsi="Tahoma" w:cs="Tahoma"/>
          <w:b/>
          <w:color w:val="C00000"/>
          <w:sz w:val="44"/>
          <w:szCs w:val="44"/>
        </w:rPr>
      </w:pPr>
      <w:r>
        <w:rPr>
          <w:rFonts w:ascii="Tahoma" w:hAnsi="Tahoma" w:cs="Tahoma"/>
          <w:b/>
          <w:color w:val="C00000"/>
          <w:sz w:val="44"/>
          <w:szCs w:val="44"/>
        </w:rPr>
        <w:t>SOCIAL VALUE</w:t>
      </w:r>
      <w:r w:rsidRPr="00703B05">
        <w:rPr>
          <w:rFonts w:ascii="Tahoma" w:hAnsi="Tahoma" w:cs="Tahoma"/>
          <w:b/>
          <w:color w:val="C00000"/>
          <w:sz w:val="44"/>
          <w:szCs w:val="44"/>
        </w:rPr>
        <w:t xml:space="preserve"> </w:t>
      </w:r>
      <w:r>
        <w:rPr>
          <w:rFonts w:ascii="Tahoma" w:hAnsi="Tahoma" w:cs="Tahoma"/>
          <w:b/>
          <w:color w:val="C00000"/>
          <w:sz w:val="44"/>
          <w:szCs w:val="44"/>
        </w:rPr>
        <w:t>GUIDANCE</w:t>
      </w:r>
    </w:p>
    <w:p w14:paraId="62DFA56A" w14:textId="77777777" w:rsidR="00D9579C" w:rsidRPr="00D9579C" w:rsidRDefault="00D9579C" w:rsidP="00D9579C">
      <w:pPr>
        <w:pStyle w:val="Heading1STAR"/>
        <w:rPr>
          <w:color w:val="C00000"/>
          <w:sz w:val="44"/>
        </w:rPr>
      </w:pPr>
      <w:r w:rsidRPr="00D9579C">
        <w:rPr>
          <w:color w:val="C00000"/>
          <w:sz w:val="44"/>
        </w:rPr>
        <w:t>1.</w:t>
      </w:r>
      <w:r w:rsidRPr="00D9579C">
        <w:rPr>
          <w:color w:val="C00000"/>
          <w:sz w:val="44"/>
        </w:rPr>
        <w:tab/>
        <w:t>Introduction</w:t>
      </w:r>
    </w:p>
    <w:p w14:paraId="57227E0C" w14:textId="11156E05" w:rsidR="004B1812" w:rsidRDefault="004B1812" w:rsidP="004B1812">
      <w:pPr>
        <w:rPr>
          <w:rFonts w:ascii="Tahoma" w:eastAsia="Calibri" w:hAnsi="Tahoma" w:cs="Tahoma"/>
          <w:bCs/>
          <w:sz w:val="24"/>
          <w:szCs w:val="24"/>
        </w:rPr>
      </w:pPr>
      <w:r w:rsidRPr="00D9579C">
        <w:rPr>
          <w:rFonts w:ascii="Tahoma" w:eastAsia="Calibri" w:hAnsi="Tahoma" w:cs="Tahoma"/>
          <w:bCs/>
          <w:sz w:val="24"/>
          <w:szCs w:val="24"/>
        </w:rPr>
        <w:t>This guidance</w:t>
      </w:r>
      <w:r>
        <w:rPr>
          <w:rFonts w:ascii="Tahoma" w:eastAsia="Calibri" w:hAnsi="Tahoma" w:cs="Tahoma"/>
          <w:bCs/>
          <w:sz w:val="24"/>
          <w:szCs w:val="24"/>
        </w:rPr>
        <w:t xml:space="preserve"> is provided in the context of the </w:t>
      </w:r>
      <w:proofErr w:type="spellStart"/>
      <w:r>
        <w:rPr>
          <w:rFonts w:ascii="Tahoma" w:eastAsia="Calibri" w:hAnsi="Tahoma" w:cs="Tahoma"/>
          <w:bCs/>
          <w:sz w:val="24"/>
          <w:szCs w:val="24"/>
        </w:rPr>
        <w:t>Knowsley</w:t>
      </w:r>
      <w:proofErr w:type="spellEnd"/>
      <w:r>
        <w:rPr>
          <w:rFonts w:ascii="Tahoma" w:eastAsia="Calibri" w:hAnsi="Tahoma" w:cs="Tahoma"/>
          <w:bCs/>
          <w:sz w:val="24"/>
          <w:szCs w:val="24"/>
        </w:rPr>
        <w:t xml:space="preserve"> 2030 Strategy and the </w:t>
      </w:r>
      <w:proofErr w:type="spellStart"/>
      <w:r>
        <w:rPr>
          <w:rFonts w:ascii="Tahoma" w:eastAsia="Calibri" w:hAnsi="Tahoma" w:cs="Tahoma"/>
          <w:bCs/>
          <w:sz w:val="24"/>
          <w:szCs w:val="24"/>
        </w:rPr>
        <w:t>Knowsley</w:t>
      </w:r>
      <w:proofErr w:type="spellEnd"/>
      <w:r>
        <w:rPr>
          <w:rFonts w:ascii="Tahoma" w:eastAsia="Calibri" w:hAnsi="Tahoma" w:cs="Tahoma"/>
          <w:bCs/>
          <w:sz w:val="24"/>
          <w:szCs w:val="24"/>
        </w:rPr>
        <w:t xml:space="preserve"> Council Plan 2022-2025, the Council’s Responsible Procurement Strategy 2022-2026 and more particularly</w:t>
      </w:r>
      <w:r w:rsidRPr="00554328">
        <w:rPr>
          <w:rFonts w:ascii="Tahoma" w:eastAsia="Calibri" w:hAnsi="Tahoma" w:cs="Tahoma"/>
          <w:bCs/>
          <w:sz w:val="24"/>
          <w:szCs w:val="24"/>
        </w:rPr>
        <w:t xml:space="preserve"> </w:t>
      </w:r>
      <w:r w:rsidRPr="00D9579C">
        <w:rPr>
          <w:rFonts w:ascii="Tahoma" w:eastAsia="Calibri" w:hAnsi="Tahoma" w:cs="Tahoma"/>
          <w:bCs/>
          <w:sz w:val="24"/>
          <w:szCs w:val="24"/>
        </w:rPr>
        <w:t xml:space="preserve">the Social Value </w:t>
      </w:r>
      <w:r>
        <w:rPr>
          <w:rFonts w:ascii="Tahoma" w:eastAsia="Calibri" w:hAnsi="Tahoma" w:cs="Tahoma"/>
          <w:bCs/>
          <w:sz w:val="24"/>
          <w:szCs w:val="24"/>
        </w:rPr>
        <w:t>Procurement Framework 2022-2026.  The guidance seeks to</w:t>
      </w:r>
      <w:r w:rsidRPr="00D9579C">
        <w:rPr>
          <w:rFonts w:ascii="Tahoma" w:eastAsia="Calibri" w:hAnsi="Tahoma" w:cs="Tahoma"/>
          <w:bCs/>
          <w:sz w:val="24"/>
          <w:szCs w:val="24"/>
        </w:rPr>
        <w:t xml:space="preserve"> </w:t>
      </w:r>
      <w:r>
        <w:rPr>
          <w:rFonts w:ascii="Tahoma" w:eastAsia="Calibri" w:hAnsi="Tahoma" w:cs="Tahoma"/>
          <w:bCs/>
          <w:sz w:val="24"/>
          <w:szCs w:val="24"/>
        </w:rPr>
        <w:t>underpin</w:t>
      </w:r>
      <w:r w:rsidRPr="00D9579C">
        <w:rPr>
          <w:rFonts w:ascii="Tahoma" w:eastAsia="Calibri" w:hAnsi="Tahoma" w:cs="Tahoma"/>
          <w:bCs/>
          <w:sz w:val="24"/>
          <w:szCs w:val="24"/>
        </w:rPr>
        <w:t xml:space="preserve"> the</w:t>
      </w:r>
      <w:r>
        <w:rPr>
          <w:rFonts w:ascii="Tahoma" w:eastAsia="Calibri" w:hAnsi="Tahoma" w:cs="Tahoma"/>
          <w:bCs/>
          <w:sz w:val="24"/>
          <w:szCs w:val="24"/>
        </w:rPr>
        <w:t xml:space="preserve"> Council Plan</w:t>
      </w:r>
      <w:r w:rsidRPr="00D9579C">
        <w:rPr>
          <w:rFonts w:ascii="Tahoma" w:eastAsia="Calibri" w:hAnsi="Tahoma" w:cs="Tahoma"/>
          <w:bCs/>
          <w:sz w:val="24"/>
          <w:szCs w:val="24"/>
        </w:rPr>
        <w:t xml:space="preserve"> vision</w:t>
      </w:r>
      <w:r>
        <w:rPr>
          <w:rFonts w:ascii="Tahoma" w:eastAsia="Calibri" w:hAnsi="Tahoma" w:cs="Tahoma"/>
          <w:bCs/>
          <w:sz w:val="24"/>
          <w:szCs w:val="24"/>
        </w:rPr>
        <w:t xml:space="preserve"> of “supporting </w:t>
      </w:r>
      <w:proofErr w:type="spellStart"/>
      <w:r>
        <w:rPr>
          <w:rFonts w:ascii="Tahoma" w:eastAsia="Calibri" w:hAnsi="Tahoma" w:cs="Tahoma"/>
          <w:bCs/>
          <w:sz w:val="24"/>
          <w:szCs w:val="24"/>
        </w:rPr>
        <w:t>Knowsley’s</w:t>
      </w:r>
      <w:proofErr w:type="spellEnd"/>
      <w:r>
        <w:rPr>
          <w:rFonts w:ascii="Tahoma" w:eastAsia="Calibri" w:hAnsi="Tahoma" w:cs="Tahoma"/>
          <w:bCs/>
          <w:sz w:val="24"/>
          <w:szCs w:val="24"/>
        </w:rPr>
        <w:t xml:space="preserve"> people and communities to thrive”</w:t>
      </w:r>
      <w:r w:rsidRPr="00D9579C">
        <w:rPr>
          <w:rFonts w:ascii="Tahoma" w:eastAsia="Calibri" w:hAnsi="Tahoma" w:cs="Tahoma"/>
          <w:bCs/>
          <w:sz w:val="24"/>
          <w:szCs w:val="24"/>
        </w:rPr>
        <w:t xml:space="preserve">, </w:t>
      </w:r>
      <w:r>
        <w:rPr>
          <w:rFonts w:ascii="Tahoma" w:eastAsia="Calibri" w:hAnsi="Tahoma" w:cs="Tahoma"/>
          <w:bCs/>
          <w:sz w:val="24"/>
          <w:szCs w:val="24"/>
        </w:rPr>
        <w:t>and specifically the delivery of the following priorities:</w:t>
      </w:r>
    </w:p>
    <w:p w14:paraId="614A6574" w14:textId="7F25D337" w:rsidR="004B1812" w:rsidRPr="004B1812" w:rsidRDefault="004B1812" w:rsidP="004B1812">
      <w:pPr>
        <w:pStyle w:val="ListParagraph"/>
        <w:numPr>
          <w:ilvl w:val="0"/>
          <w:numId w:val="4"/>
        </w:numPr>
        <w:rPr>
          <w:rFonts w:ascii="Tahoma" w:eastAsia="Calibri" w:hAnsi="Tahoma" w:cs="Tahoma"/>
          <w:b/>
          <w:sz w:val="24"/>
          <w:szCs w:val="24"/>
        </w:rPr>
      </w:pPr>
      <w:r w:rsidRPr="004B1812">
        <w:rPr>
          <w:rFonts w:ascii="Tahoma" w:eastAsia="Calibri" w:hAnsi="Tahoma" w:cs="Tahoma"/>
          <w:b/>
          <w:sz w:val="24"/>
          <w:szCs w:val="24"/>
        </w:rPr>
        <w:t>Effective Support for those in Need</w:t>
      </w:r>
      <w:r w:rsidRPr="004B1812">
        <w:rPr>
          <w:rFonts w:ascii="Tahoma" w:eastAsia="Calibri" w:hAnsi="Tahoma" w:cs="Tahoma"/>
          <w:bCs/>
          <w:sz w:val="24"/>
          <w:szCs w:val="24"/>
        </w:rPr>
        <w:t xml:space="preserve"> – ensuring that all </w:t>
      </w:r>
      <w:proofErr w:type="spellStart"/>
      <w:r w:rsidRPr="004B1812">
        <w:rPr>
          <w:rFonts w:ascii="Tahoma" w:eastAsia="Calibri" w:hAnsi="Tahoma" w:cs="Tahoma"/>
          <w:bCs/>
          <w:sz w:val="24"/>
          <w:szCs w:val="24"/>
        </w:rPr>
        <w:t>Knowsley</w:t>
      </w:r>
      <w:proofErr w:type="spellEnd"/>
      <w:r w:rsidRPr="004B1812">
        <w:rPr>
          <w:rFonts w:ascii="Tahoma" w:eastAsia="Calibri" w:hAnsi="Tahoma" w:cs="Tahoma"/>
          <w:bCs/>
          <w:sz w:val="24"/>
          <w:szCs w:val="24"/>
        </w:rPr>
        <w:t xml:space="preserve"> residents </w:t>
      </w:r>
      <w:proofErr w:type="gramStart"/>
      <w:r w:rsidRPr="004B1812">
        <w:rPr>
          <w:rFonts w:ascii="Tahoma" w:eastAsia="Calibri" w:hAnsi="Tahoma" w:cs="Tahoma"/>
          <w:bCs/>
          <w:sz w:val="24"/>
          <w:szCs w:val="24"/>
        </w:rPr>
        <w:t>are able to</w:t>
      </w:r>
      <w:proofErr w:type="gramEnd"/>
      <w:r w:rsidRPr="004B1812">
        <w:rPr>
          <w:rFonts w:ascii="Tahoma" w:eastAsia="Calibri" w:hAnsi="Tahoma" w:cs="Tahoma"/>
          <w:bCs/>
          <w:sz w:val="24"/>
          <w:szCs w:val="24"/>
        </w:rPr>
        <w:t xml:space="preserve"> access the support and services they need.</w:t>
      </w:r>
    </w:p>
    <w:p w14:paraId="7E22FDD6" w14:textId="0407A57B" w:rsidR="004B1812" w:rsidRPr="004B1812" w:rsidRDefault="004B1812" w:rsidP="004B1812">
      <w:pPr>
        <w:pStyle w:val="ListParagraph"/>
        <w:numPr>
          <w:ilvl w:val="0"/>
          <w:numId w:val="4"/>
        </w:numPr>
        <w:rPr>
          <w:rFonts w:ascii="Tahoma" w:eastAsia="Calibri" w:hAnsi="Tahoma" w:cs="Tahoma"/>
          <w:b/>
          <w:sz w:val="24"/>
          <w:szCs w:val="24"/>
        </w:rPr>
      </w:pPr>
      <w:r w:rsidRPr="004B1812">
        <w:rPr>
          <w:rFonts w:ascii="Tahoma" w:eastAsia="Calibri" w:hAnsi="Tahoma" w:cs="Tahoma"/>
          <w:b/>
          <w:sz w:val="24"/>
          <w:szCs w:val="24"/>
        </w:rPr>
        <w:t>Inclusive Growth and Skills</w:t>
      </w:r>
      <w:r w:rsidRPr="004B1812">
        <w:rPr>
          <w:rFonts w:ascii="Tahoma" w:eastAsia="Calibri" w:hAnsi="Tahoma" w:cs="Tahoma"/>
          <w:bCs/>
          <w:sz w:val="24"/>
          <w:szCs w:val="24"/>
        </w:rPr>
        <w:t xml:space="preserve"> – ensuring that </w:t>
      </w:r>
      <w:proofErr w:type="gramStart"/>
      <w:r w:rsidRPr="004B1812">
        <w:rPr>
          <w:rFonts w:ascii="Tahoma" w:eastAsia="Calibri" w:hAnsi="Tahoma" w:cs="Tahoma"/>
          <w:bCs/>
          <w:sz w:val="24"/>
          <w:szCs w:val="24"/>
        </w:rPr>
        <w:t>all of</w:t>
      </w:r>
      <w:proofErr w:type="gramEnd"/>
      <w:r w:rsidRPr="004B1812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4B1812">
        <w:rPr>
          <w:rFonts w:ascii="Tahoma" w:eastAsia="Calibri" w:hAnsi="Tahoma" w:cs="Tahoma"/>
          <w:bCs/>
          <w:sz w:val="24"/>
          <w:szCs w:val="24"/>
        </w:rPr>
        <w:t>Knowsley’s</w:t>
      </w:r>
      <w:proofErr w:type="spellEnd"/>
      <w:r w:rsidRPr="004B1812">
        <w:rPr>
          <w:rFonts w:ascii="Tahoma" w:eastAsia="Calibri" w:hAnsi="Tahoma" w:cs="Tahoma"/>
          <w:bCs/>
          <w:sz w:val="24"/>
          <w:szCs w:val="24"/>
        </w:rPr>
        <w:t xml:space="preserve"> communities are able to share in the opportunities from local economic growth.</w:t>
      </w:r>
    </w:p>
    <w:p w14:paraId="1F70EDC2" w14:textId="77777777" w:rsidR="004B1812" w:rsidRPr="004B1812" w:rsidRDefault="004B1812" w:rsidP="004B1812">
      <w:pPr>
        <w:pStyle w:val="ListParagraph"/>
        <w:numPr>
          <w:ilvl w:val="0"/>
          <w:numId w:val="4"/>
        </w:numPr>
        <w:rPr>
          <w:rFonts w:ascii="Tahoma" w:eastAsia="Calibri" w:hAnsi="Tahoma" w:cs="Tahoma"/>
          <w:b/>
          <w:sz w:val="24"/>
          <w:szCs w:val="24"/>
        </w:rPr>
      </w:pPr>
      <w:r w:rsidRPr="004B1812">
        <w:rPr>
          <w:rFonts w:ascii="Tahoma" w:eastAsia="Calibri" w:hAnsi="Tahoma" w:cs="Tahoma"/>
          <w:b/>
          <w:sz w:val="24"/>
          <w:szCs w:val="24"/>
        </w:rPr>
        <w:t>Achieving Net Zero 2040</w:t>
      </w:r>
      <w:r w:rsidRPr="004B1812">
        <w:rPr>
          <w:rFonts w:ascii="Tahoma" w:eastAsia="Calibri" w:hAnsi="Tahoma" w:cs="Tahoma"/>
          <w:bCs/>
          <w:sz w:val="24"/>
          <w:szCs w:val="24"/>
        </w:rPr>
        <w:t xml:space="preserve"> – ensuring that the Council plays a leading role in local action to address the Climate Emergency</w:t>
      </w:r>
    </w:p>
    <w:p w14:paraId="5BEA78D1" w14:textId="77777777" w:rsidR="004B1812" w:rsidRDefault="004B1812" w:rsidP="00D9579C">
      <w:pPr>
        <w:rPr>
          <w:rFonts w:ascii="Tahoma" w:eastAsia="Calibri" w:hAnsi="Tahoma" w:cs="Tahoma"/>
          <w:bCs/>
          <w:sz w:val="24"/>
          <w:szCs w:val="24"/>
        </w:rPr>
      </w:pPr>
    </w:p>
    <w:p w14:paraId="58DE85E4" w14:textId="34636C3E" w:rsidR="003054F9" w:rsidRDefault="003054F9" w:rsidP="003054F9">
      <w:pPr>
        <w:jc w:val="both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 xml:space="preserve">Social Value is </w:t>
      </w:r>
      <w:r w:rsidR="004B1812">
        <w:rPr>
          <w:rFonts w:ascii="Tahoma" w:hAnsi="Tahoma" w:cs="Tahoma"/>
          <w:sz w:val="24"/>
          <w:szCs w:val="24"/>
        </w:rPr>
        <w:t xml:space="preserve">realized when a </w:t>
      </w:r>
      <w:r w:rsidRPr="00D163BF">
        <w:rPr>
          <w:rFonts w:ascii="Tahoma" w:hAnsi="Tahoma" w:cs="Tahoma"/>
          <w:sz w:val="24"/>
          <w:szCs w:val="24"/>
        </w:rPr>
        <w:t xml:space="preserve">wider benefit </w:t>
      </w:r>
      <w:r w:rsidR="004B1812">
        <w:rPr>
          <w:rFonts w:ascii="Tahoma" w:hAnsi="Tahoma" w:cs="Tahoma"/>
          <w:sz w:val="24"/>
          <w:szCs w:val="24"/>
        </w:rPr>
        <w:t xml:space="preserve">is obtained </w:t>
      </w:r>
      <w:r w:rsidRPr="00D163BF">
        <w:rPr>
          <w:rFonts w:ascii="Tahoma" w:hAnsi="Tahoma" w:cs="Tahoma"/>
          <w:sz w:val="24"/>
          <w:szCs w:val="24"/>
        </w:rPr>
        <w:t xml:space="preserve">by a local community from the delivery of public contracts. This can be the </w:t>
      </w:r>
      <w:proofErr w:type="gramStart"/>
      <w:r w:rsidRPr="00D163BF">
        <w:rPr>
          <w:rFonts w:ascii="Tahoma" w:hAnsi="Tahoma" w:cs="Tahoma"/>
          <w:sz w:val="24"/>
          <w:szCs w:val="24"/>
        </w:rPr>
        <w:t>community as a whole, disadvantaged</w:t>
      </w:r>
      <w:proofErr w:type="gramEnd"/>
      <w:r w:rsidRPr="00D163BF">
        <w:rPr>
          <w:rFonts w:ascii="Tahoma" w:hAnsi="Tahoma" w:cs="Tahoma"/>
          <w:sz w:val="24"/>
          <w:szCs w:val="24"/>
        </w:rPr>
        <w:t xml:space="preserve"> individuals, minorities, local businesses and VCSEs, as well as the environment through the better spending of public money.</w:t>
      </w:r>
      <w:r w:rsidR="004B1812">
        <w:rPr>
          <w:rFonts w:ascii="Tahoma" w:hAnsi="Tahoma" w:cs="Tahoma"/>
          <w:sz w:val="24"/>
          <w:szCs w:val="24"/>
        </w:rPr>
        <w:t xml:space="preserve"> </w:t>
      </w:r>
      <w:r w:rsidRPr="00D163BF">
        <w:rPr>
          <w:rFonts w:ascii="Tahoma" w:hAnsi="Tahoma" w:cs="Tahoma"/>
          <w:sz w:val="24"/>
          <w:szCs w:val="24"/>
        </w:rPr>
        <w:t xml:space="preserve">In summary it </w:t>
      </w:r>
      <w:r w:rsidR="004B1812">
        <w:rPr>
          <w:rFonts w:ascii="Tahoma" w:hAnsi="Tahoma" w:cs="Tahoma"/>
          <w:sz w:val="24"/>
          <w:szCs w:val="24"/>
        </w:rPr>
        <w:t>can include the delivery of benefits across the following areas:</w:t>
      </w:r>
    </w:p>
    <w:p w14:paraId="6BC365D9" w14:textId="77777777" w:rsidR="003054F9" w:rsidRPr="00D163BF" w:rsidRDefault="003054F9" w:rsidP="003054F9">
      <w:pPr>
        <w:pStyle w:val="ListParagraph"/>
        <w:widowControl/>
        <w:numPr>
          <w:ilvl w:val="0"/>
          <w:numId w:val="3"/>
        </w:numPr>
        <w:spacing w:after="160" w:line="256" w:lineRule="auto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 xml:space="preserve">Social </w:t>
      </w:r>
    </w:p>
    <w:p w14:paraId="422736DC" w14:textId="77777777" w:rsidR="003054F9" w:rsidRPr="00D163BF" w:rsidRDefault="003054F9" w:rsidP="003054F9">
      <w:pPr>
        <w:pStyle w:val="ListParagraph"/>
        <w:widowControl/>
        <w:numPr>
          <w:ilvl w:val="0"/>
          <w:numId w:val="3"/>
        </w:numPr>
        <w:spacing w:after="160" w:line="256" w:lineRule="auto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>Economic</w:t>
      </w:r>
    </w:p>
    <w:p w14:paraId="6CA2ECC8" w14:textId="75698197" w:rsidR="003054F9" w:rsidRPr="003054F9" w:rsidRDefault="003054F9" w:rsidP="003054F9">
      <w:pPr>
        <w:pStyle w:val="ListParagraph"/>
        <w:widowControl/>
        <w:numPr>
          <w:ilvl w:val="0"/>
          <w:numId w:val="3"/>
        </w:numPr>
        <w:spacing w:after="160" w:line="256" w:lineRule="auto"/>
        <w:rPr>
          <w:rFonts w:ascii="Arial" w:eastAsia="Calibri" w:hAnsi="Arial" w:cs="Arial"/>
          <w:bCs/>
          <w:sz w:val="36"/>
          <w:szCs w:val="36"/>
        </w:rPr>
      </w:pPr>
      <w:r w:rsidRPr="003054F9">
        <w:rPr>
          <w:rFonts w:ascii="Tahoma" w:hAnsi="Tahoma" w:cs="Tahoma"/>
          <w:sz w:val="24"/>
          <w:szCs w:val="24"/>
        </w:rPr>
        <w:t>Environment</w:t>
      </w:r>
      <w:r w:rsidRPr="003054F9">
        <w:rPr>
          <w:rFonts w:ascii="Arial" w:eastAsia="Calibri" w:hAnsi="Arial" w:cs="Arial"/>
          <w:bCs/>
          <w:sz w:val="36"/>
          <w:szCs w:val="36"/>
        </w:rPr>
        <w:br w:type="page"/>
      </w:r>
    </w:p>
    <w:p w14:paraId="1D7D3243" w14:textId="7C1BDD65" w:rsidR="003054F9" w:rsidRPr="00D9579C" w:rsidRDefault="003054F9" w:rsidP="003054F9">
      <w:pPr>
        <w:pStyle w:val="Heading1STAR"/>
        <w:rPr>
          <w:color w:val="C00000"/>
          <w:sz w:val="44"/>
        </w:rPr>
      </w:pPr>
      <w:r>
        <w:rPr>
          <w:color w:val="C00000"/>
          <w:sz w:val="44"/>
        </w:rPr>
        <w:lastRenderedPageBreak/>
        <w:t>2</w:t>
      </w:r>
      <w:r w:rsidRPr="00D9579C">
        <w:rPr>
          <w:color w:val="C00000"/>
          <w:sz w:val="44"/>
        </w:rPr>
        <w:t>.</w:t>
      </w:r>
      <w:r w:rsidRPr="00D9579C">
        <w:rPr>
          <w:color w:val="C00000"/>
          <w:sz w:val="44"/>
        </w:rPr>
        <w:tab/>
      </w:r>
      <w:r>
        <w:rPr>
          <w:color w:val="C00000"/>
          <w:sz w:val="44"/>
        </w:rPr>
        <w:t>Objectives and Guidance</w:t>
      </w:r>
    </w:p>
    <w:p w14:paraId="31CBF34A" w14:textId="77777777" w:rsidR="00864027" w:rsidRDefault="00864027" w:rsidP="00E93FA5">
      <w:pPr>
        <w:spacing w:before="8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ListTable3-Accent2"/>
        <w:tblW w:w="154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3402"/>
        <w:gridCol w:w="3974"/>
        <w:gridCol w:w="4966"/>
      </w:tblGrid>
      <w:tr w:rsidR="002061C8" w:rsidRPr="002061C8" w14:paraId="45250429" w14:textId="77777777" w:rsidTr="00C1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70569A3A" w14:textId="55ED0097" w:rsidR="002061C8" w:rsidRPr="002061C8" w:rsidRDefault="002061C8" w:rsidP="00E93FA5">
            <w:pPr>
              <w:spacing w:before="8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Social Value Theme</w:t>
            </w:r>
          </w:p>
        </w:tc>
        <w:tc>
          <w:tcPr>
            <w:tcW w:w="1418" w:type="dxa"/>
          </w:tcPr>
          <w:p w14:paraId="45678AFF" w14:textId="10DAA866" w:rsidR="002061C8" w:rsidRPr="002061C8" w:rsidRDefault="002061C8" w:rsidP="003054F9">
            <w:pPr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Link to C</w:t>
            </w:r>
            <w:r w:rsidR="00F5702F">
              <w:rPr>
                <w:rFonts w:ascii="Arial" w:eastAsia="Calibri" w:hAnsi="Arial" w:cs="Arial"/>
                <w:sz w:val="24"/>
                <w:szCs w:val="24"/>
              </w:rPr>
              <w:t>ouncil</w:t>
            </w:r>
            <w:r w:rsidRPr="002061C8">
              <w:rPr>
                <w:rFonts w:ascii="Arial" w:eastAsia="Calibri" w:hAnsi="Arial" w:cs="Arial"/>
                <w:sz w:val="24"/>
                <w:szCs w:val="24"/>
              </w:rPr>
              <w:t xml:space="preserve"> Priorities</w:t>
            </w:r>
          </w:p>
        </w:tc>
        <w:tc>
          <w:tcPr>
            <w:tcW w:w="3402" w:type="dxa"/>
          </w:tcPr>
          <w:p w14:paraId="304C3014" w14:textId="75E40B58" w:rsidR="002061C8" w:rsidRPr="002061C8" w:rsidRDefault="002061C8" w:rsidP="00E93FA5">
            <w:pPr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Objectives</w:t>
            </w:r>
          </w:p>
        </w:tc>
        <w:tc>
          <w:tcPr>
            <w:tcW w:w="3974" w:type="dxa"/>
          </w:tcPr>
          <w:p w14:paraId="581A31C3" w14:textId="7EE9A09F" w:rsidR="002061C8" w:rsidRPr="002061C8" w:rsidRDefault="002061C8" w:rsidP="003054F9">
            <w:pPr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Commitments</w:t>
            </w:r>
          </w:p>
        </w:tc>
        <w:tc>
          <w:tcPr>
            <w:tcW w:w="4966" w:type="dxa"/>
          </w:tcPr>
          <w:p w14:paraId="75DD4821" w14:textId="1E1649CE" w:rsidR="002061C8" w:rsidRPr="002061C8" w:rsidRDefault="002061C8" w:rsidP="003054F9">
            <w:pPr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What Bidders / Contractors could offer</w:t>
            </w:r>
          </w:p>
        </w:tc>
      </w:tr>
      <w:tr w:rsidR="00324665" w:rsidRPr="002061C8" w14:paraId="3F6F313E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381D8192" w14:textId="440D643E" w:rsidR="00324665" w:rsidRPr="002061C8" w:rsidRDefault="00324665" w:rsidP="001940E5">
            <w:pPr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418" w:type="dxa"/>
            <w:vMerge w:val="restart"/>
          </w:tcPr>
          <w:p w14:paraId="5F008E5C" w14:textId="7EFF3371" w:rsidR="00324665" w:rsidRPr="002061C8" w:rsidRDefault="00324665" w:rsidP="00194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bCs/>
                <w:sz w:val="24"/>
                <w:szCs w:val="24"/>
              </w:rPr>
              <w:t>Inclusive growth and skills</w:t>
            </w:r>
          </w:p>
        </w:tc>
        <w:tc>
          <w:tcPr>
            <w:tcW w:w="3402" w:type="dxa"/>
            <w:vMerge w:val="restart"/>
          </w:tcPr>
          <w:p w14:paraId="336254D6" w14:textId="34854E12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Ensuring that people of all ages can achieve their full potential</w:t>
            </w:r>
          </w:p>
        </w:tc>
        <w:tc>
          <w:tcPr>
            <w:tcW w:w="3974" w:type="dxa"/>
            <w:vMerge w:val="restart"/>
          </w:tcPr>
          <w:p w14:paraId="494EEE17" w14:textId="7910E67F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Ensuring that residents are equipped with the required skills, advice, and guidance to take advantage of existing and future job opportunities</w:t>
            </w:r>
          </w:p>
        </w:tc>
        <w:tc>
          <w:tcPr>
            <w:tcW w:w="4966" w:type="dxa"/>
          </w:tcPr>
          <w:p w14:paraId="4DF70776" w14:textId="7FF3DC14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 xml:space="preserve">Work in partnership with schools </w:t>
            </w:r>
          </w:p>
          <w:p w14:paraId="5E5D616B" w14:textId="64B3FA04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Supporting young people into</w:t>
            </w:r>
            <w:r w:rsidRPr="002061C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work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through employability support</w:t>
            </w:r>
            <w:r w:rsidRPr="002061C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(schools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and</w:t>
            </w:r>
            <w:r w:rsidRPr="002061C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colleges)</w:t>
            </w:r>
          </w:p>
        </w:tc>
      </w:tr>
      <w:tr w:rsidR="00324665" w:rsidRPr="002061C8" w14:paraId="2A6B38C5" w14:textId="77777777" w:rsidTr="00C14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9FC92C4" w14:textId="77777777" w:rsidR="00324665" w:rsidRPr="002061C8" w:rsidRDefault="00324665" w:rsidP="001940E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9975CE4" w14:textId="77777777" w:rsidR="00324665" w:rsidRPr="002061C8" w:rsidRDefault="00324665" w:rsidP="001940E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D3820D" w14:textId="77777777" w:rsidR="00324665" w:rsidRPr="002061C8" w:rsidRDefault="00324665" w:rsidP="00194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2D14002" w14:textId="77777777" w:rsidR="00324665" w:rsidRPr="002061C8" w:rsidRDefault="00324665" w:rsidP="001940E5">
            <w:pPr>
              <w:pStyle w:val="TableParagraph"/>
              <w:ind w:right="8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233103CB" w14:textId="7410C7E3" w:rsidR="00324665" w:rsidRPr="002061C8" w:rsidRDefault="00324665" w:rsidP="001940E5">
            <w:pPr>
              <w:pStyle w:val="TableParagraph"/>
              <w:ind w:right="8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Create and support</w:t>
            </w:r>
            <w:r w:rsidRPr="002061C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work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placements work experience</w:t>
            </w:r>
            <w:r w:rsidRPr="002061C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and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vocational</w:t>
            </w:r>
            <w:r w:rsidRPr="002061C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opportunities</w:t>
            </w:r>
          </w:p>
        </w:tc>
      </w:tr>
      <w:tr w:rsidR="00324665" w:rsidRPr="002061C8" w14:paraId="28E3CB5F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19D826E2" w14:textId="77777777" w:rsidR="00324665" w:rsidRPr="002061C8" w:rsidRDefault="00324665" w:rsidP="001940E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4587203" w14:textId="77777777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AA2A0" w14:textId="77777777" w:rsidR="00324665" w:rsidRPr="002061C8" w:rsidRDefault="00324665" w:rsidP="00194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141BA5BB" w14:textId="77777777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38DD9D2E" w14:textId="70915FF8" w:rsidR="00324665" w:rsidRPr="002061C8" w:rsidRDefault="00324665" w:rsidP="001940E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Create opportunities for more employment and work experience opportunities for adults with learning disabilities and mental health conditions</w:t>
            </w:r>
          </w:p>
        </w:tc>
      </w:tr>
      <w:tr w:rsidR="00324665" w:rsidRPr="002061C8" w14:paraId="1C597D06" w14:textId="77777777" w:rsidTr="00C149C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01A9CF5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0448FB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770A743" w14:textId="495BA48B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24665">
              <w:rPr>
                <w:rFonts w:ascii="Arial" w:hAnsi="Arial" w:cs="Arial"/>
                <w:sz w:val="24"/>
                <w:szCs w:val="24"/>
              </w:rPr>
              <w:t>Harnessing opportunities to drive growth</w:t>
            </w:r>
          </w:p>
        </w:tc>
        <w:tc>
          <w:tcPr>
            <w:tcW w:w="3974" w:type="dxa"/>
            <w:vMerge w:val="restart"/>
          </w:tcPr>
          <w:p w14:paraId="67CDACA0" w14:textId="480A6998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Ensuring that residents are equipped with the required skills, advice, and guidance to take advantage of existing and future job opportunities</w:t>
            </w:r>
          </w:p>
        </w:tc>
        <w:tc>
          <w:tcPr>
            <w:tcW w:w="4966" w:type="dxa"/>
          </w:tcPr>
          <w:p w14:paraId="5864568E" w14:textId="5169ECE5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Create Employer volunteering</w:t>
            </w:r>
            <w:r w:rsidRPr="002061C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schemes</w:t>
            </w:r>
          </w:p>
        </w:tc>
      </w:tr>
      <w:tr w:rsidR="00324665" w:rsidRPr="002061C8" w14:paraId="6AF01DBF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5DCD1CD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697F75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14BB17A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3FE46678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966" w:type="dxa"/>
          </w:tcPr>
          <w:p w14:paraId="383BD892" w14:textId="67B1E94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 xml:space="preserve">Create new job opportunities </w:t>
            </w:r>
          </w:p>
        </w:tc>
      </w:tr>
      <w:tr w:rsidR="00324665" w:rsidRPr="002061C8" w14:paraId="5622E8F3" w14:textId="77777777" w:rsidTr="00C149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891A278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12D2A7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B280A4A" w14:textId="57B74E95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6A1F8682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966" w:type="dxa"/>
          </w:tcPr>
          <w:p w14:paraId="567809F5" w14:textId="2F4F2BB3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Create apprenticeship opportunities</w:t>
            </w:r>
            <w:r w:rsidRPr="002061C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for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residents</w:t>
            </w:r>
          </w:p>
        </w:tc>
      </w:tr>
      <w:tr w:rsidR="00324665" w:rsidRPr="002061C8" w14:paraId="53AD9D3A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3880B0A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1C4119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7FA13FA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FDD4AFD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966" w:type="dxa"/>
          </w:tcPr>
          <w:p w14:paraId="7792BEC6" w14:textId="0951731E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Offer work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061C8">
              <w:rPr>
                <w:rFonts w:ascii="Arial" w:hAnsi="Arial" w:cs="Arial"/>
                <w:sz w:val="24"/>
                <w:szCs w:val="24"/>
              </w:rPr>
              <w:t>based learning</w:t>
            </w:r>
            <w:r w:rsidRPr="002061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opportunities</w:t>
            </w:r>
          </w:p>
        </w:tc>
      </w:tr>
      <w:tr w:rsidR="00324665" w:rsidRPr="002061C8" w14:paraId="6262879D" w14:textId="77777777" w:rsidTr="00C149C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1E42DE66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5AAEE6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FF457BD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3BD6D19D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966" w:type="dxa"/>
          </w:tcPr>
          <w:p w14:paraId="3B3459B7" w14:textId="07AE64D8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Support people back to work by</w:t>
            </w:r>
            <w:r w:rsidRPr="002061C8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providing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career mentoring, CV and career</w:t>
            </w:r>
            <w:r w:rsidRPr="002061C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advice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and guidance (including</w:t>
            </w:r>
            <w:r w:rsidRPr="002061C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50+)</w:t>
            </w:r>
          </w:p>
        </w:tc>
      </w:tr>
      <w:tr w:rsidR="00324665" w:rsidRPr="002061C8" w14:paraId="46D66CB1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4F829B6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6510B8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33F4860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7DC84325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966" w:type="dxa"/>
          </w:tcPr>
          <w:p w14:paraId="06C4CC18" w14:textId="67EC195F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Create opportunities for disadvantaged people including long term unemployed, ex-offenders and people with disabilities</w:t>
            </w:r>
          </w:p>
        </w:tc>
      </w:tr>
      <w:tr w:rsidR="00324665" w:rsidRPr="002061C8" w14:paraId="3C81D9A4" w14:textId="77777777" w:rsidTr="00C149C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3B52907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F4EF180" w14:textId="442CBE29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Effective support for those in need</w:t>
            </w:r>
          </w:p>
          <w:p w14:paraId="47F3C756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E330741" w14:textId="50EA1E89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Improving people’s health and wellbeing and reducing health inequalities</w:t>
            </w:r>
          </w:p>
        </w:tc>
        <w:tc>
          <w:tcPr>
            <w:tcW w:w="3974" w:type="dxa"/>
          </w:tcPr>
          <w:p w14:paraId="5472B254" w14:textId="63796AFA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bCs/>
                <w:sz w:val="24"/>
                <w:szCs w:val="24"/>
              </w:rPr>
              <w:t>Meeting Complex Need</w:t>
            </w:r>
          </w:p>
        </w:tc>
        <w:tc>
          <w:tcPr>
            <w:tcW w:w="4966" w:type="dxa"/>
            <w:vMerge w:val="restart"/>
          </w:tcPr>
          <w:p w14:paraId="36AA40B9" w14:textId="03B1BB7F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bCs/>
                <w:sz w:val="24"/>
                <w:szCs w:val="24"/>
              </w:rPr>
              <w:t>Initiatives/opportunities or interventions that will help residents adopt healthier lifestyles and improve wider social aspects of their lives.</w:t>
            </w:r>
            <w:r w:rsidRPr="002061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4665" w:rsidRPr="002061C8" w14:paraId="11537F94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9465B29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B2418D2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2D923D4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</w:tcPr>
          <w:p w14:paraId="4F405973" w14:textId="34A9D54E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24665">
              <w:rPr>
                <w:rFonts w:ascii="Arial" w:eastAsia="Calibri" w:hAnsi="Arial" w:cs="Arial"/>
                <w:bCs/>
                <w:sz w:val="24"/>
                <w:szCs w:val="24"/>
              </w:rPr>
              <w:t>Localised</w:t>
            </w:r>
            <w:proofErr w:type="spellEnd"/>
            <w:r w:rsidRPr="0032466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Family Support</w:t>
            </w:r>
          </w:p>
        </w:tc>
        <w:tc>
          <w:tcPr>
            <w:tcW w:w="4966" w:type="dxa"/>
            <w:vMerge/>
          </w:tcPr>
          <w:p w14:paraId="72B47E05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24665" w:rsidRPr="002061C8" w14:paraId="3197838D" w14:textId="77777777" w:rsidTr="00C149C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7420F3E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C4F7DF5" w14:textId="7268E63A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10A0284D" w14:textId="41EF5178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324665">
              <w:rPr>
                <w:rFonts w:ascii="Arial" w:eastAsia="Calibri" w:hAnsi="Arial" w:cs="Arial"/>
                <w:sz w:val="24"/>
                <w:szCs w:val="24"/>
              </w:rPr>
              <w:t>Targeted support for the most vulnerable</w:t>
            </w:r>
          </w:p>
        </w:tc>
        <w:tc>
          <w:tcPr>
            <w:tcW w:w="3974" w:type="dxa"/>
          </w:tcPr>
          <w:p w14:paraId="064A05E3" w14:textId="27A4B273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bCs/>
                <w:sz w:val="24"/>
                <w:szCs w:val="24"/>
              </w:rPr>
              <w:t>Meeting Complex Need</w:t>
            </w:r>
          </w:p>
        </w:tc>
        <w:tc>
          <w:tcPr>
            <w:tcW w:w="4966" w:type="dxa"/>
            <w:vMerge w:val="restart"/>
          </w:tcPr>
          <w:p w14:paraId="6B36D508" w14:textId="681CD316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Preventative services to promote independence, reduce demand for Adult Social Care services</w:t>
            </w:r>
          </w:p>
        </w:tc>
      </w:tr>
      <w:tr w:rsidR="00324665" w:rsidRPr="002061C8" w14:paraId="6364954F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FC577DF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946626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91FAC39" w14:textId="77777777" w:rsidR="00324665" w:rsidRPr="002061C8" w:rsidRDefault="00324665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</w:tcPr>
          <w:p w14:paraId="396D6AE2" w14:textId="745EA8FC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4665">
              <w:rPr>
                <w:rFonts w:ascii="Arial" w:eastAsia="Calibri" w:hAnsi="Arial" w:cs="Arial"/>
                <w:bCs/>
                <w:sz w:val="24"/>
                <w:szCs w:val="24"/>
              </w:rPr>
              <w:t>Localised</w:t>
            </w:r>
            <w:proofErr w:type="spellEnd"/>
            <w:r w:rsidRPr="0032466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Family Support</w:t>
            </w:r>
          </w:p>
        </w:tc>
        <w:tc>
          <w:tcPr>
            <w:tcW w:w="4966" w:type="dxa"/>
            <w:vMerge/>
          </w:tcPr>
          <w:p w14:paraId="7F1F0089" w14:textId="6E85C920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665" w:rsidRPr="002061C8" w14:paraId="23B3209B" w14:textId="77777777" w:rsidTr="00C149C4">
        <w:trPr>
          <w:cantSplit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27C0FC87" w14:textId="7CF32095" w:rsidR="00324665" w:rsidRPr="002061C8" w:rsidRDefault="00324665" w:rsidP="00CE59DE">
            <w:pPr>
              <w:keepNext/>
              <w:rPr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lastRenderedPageBreak/>
              <w:t>Economic</w:t>
            </w:r>
          </w:p>
        </w:tc>
        <w:tc>
          <w:tcPr>
            <w:tcW w:w="1418" w:type="dxa"/>
            <w:vMerge w:val="restart"/>
          </w:tcPr>
          <w:p w14:paraId="31A49B30" w14:textId="3F96072A" w:rsidR="00324665" w:rsidRPr="002061C8" w:rsidRDefault="00324665" w:rsidP="00CE59DE">
            <w:pPr>
              <w:pStyle w:val="TableParagraph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bCs/>
                <w:sz w:val="24"/>
                <w:szCs w:val="24"/>
              </w:rPr>
              <w:t>Inclusive growth and skills</w:t>
            </w:r>
          </w:p>
        </w:tc>
        <w:tc>
          <w:tcPr>
            <w:tcW w:w="3402" w:type="dxa"/>
            <w:vMerge w:val="restart"/>
          </w:tcPr>
          <w:p w14:paraId="12E2599B" w14:textId="440F05F5" w:rsidR="00324665" w:rsidRPr="002061C8" w:rsidRDefault="00324665" w:rsidP="00CE59DE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Ensuring that people of all ages can achieve their full potential</w:t>
            </w:r>
          </w:p>
        </w:tc>
        <w:tc>
          <w:tcPr>
            <w:tcW w:w="3974" w:type="dxa"/>
            <w:vMerge w:val="restart"/>
          </w:tcPr>
          <w:p w14:paraId="564CB523" w14:textId="6248655C" w:rsidR="00324665" w:rsidRPr="002061C8" w:rsidRDefault="00324665" w:rsidP="00CE59DE">
            <w:pPr>
              <w:pStyle w:val="TableParagraph"/>
              <w:keepNext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Ensuring that residents are equipped with the required skills, advice, and guidance to take advantage of existing and future job opportunities</w:t>
            </w:r>
          </w:p>
        </w:tc>
        <w:tc>
          <w:tcPr>
            <w:tcW w:w="4966" w:type="dxa"/>
          </w:tcPr>
          <w:p w14:paraId="109448A2" w14:textId="65AD4CB3" w:rsidR="00324665" w:rsidRPr="002061C8" w:rsidRDefault="00CE59DE" w:rsidP="00CE59DE">
            <w:pPr>
              <w:pStyle w:val="TableParagraph"/>
              <w:keepNext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Pro bono time offered to the community</w:t>
            </w:r>
          </w:p>
        </w:tc>
      </w:tr>
      <w:tr w:rsidR="00CE59DE" w:rsidRPr="002061C8" w14:paraId="76C22368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60D3E69" w14:textId="77777777" w:rsidR="00CE59DE" w:rsidRPr="002061C8" w:rsidRDefault="00CE59DE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2008BA" w14:textId="77777777" w:rsidR="00CE59DE" w:rsidRPr="002061C8" w:rsidRDefault="00CE59DE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8FBA575" w14:textId="77777777" w:rsidR="00CE59DE" w:rsidRPr="002061C8" w:rsidRDefault="00CE59DE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10703F21" w14:textId="77777777" w:rsidR="00CE59DE" w:rsidRPr="002061C8" w:rsidRDefault="00CE59DE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090743D6" w14:textId="575BE7F7" w:rsidR="00CE59DE" w:rsidRPr="002061C8" w:rsidRDefault="00CE59DE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Apprenticeships created</w:t>
            </w:r>
          </w:p>
        </w:tc>
      </w:tr>
      <w:tr w:rsidR="00324665" w:rsidRPr="002061C8" w14:paraId="32221CEF" w14:textId="77777777" w:rsidTr="00C149C4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340BCF0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9D45CA" w14:textId="5F1F16DE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D8B20F0" w14:textId="16138F49" w:rsidR="00324665" w:rsidRPr="002061C8" w:rsidRDefault="00324665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324665">
              <w:rPr>
                <w:rFonts w:ascii="Arial" w:hAnsi="Arial" w:cs="Arial"/>
                <w:sz w:val="24"/>
                <w:szCs w:val="24"/>
              </w:rPr>
              <w:t>Harnessing opportunities to drive growth</w:t>
            </w:r>
          </w:p>
        </w:tc>
        <w:tc>
          <w:tcPr>
            <w:tcW w:w="3974" w:type="dxa"/>
            <w:vMerge w:val="restart"/>
          </w:tcPr>
          <w:p w14:paraId="6722BFED" w14:textId="25C7FEA1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Ensuring that residents are equipped with the required skills, advice, and guidance to take advantage of existing and future job opportunities</w:t>
            </w:r>
          </w:p>
        </w:tc>
        <w:tc>
          <w:tcPr>
            <w:tcW w:w="4966" w:type="dxa"/>
          </w:tcPr>
          <w:p w14:paraId="6D7B66C2" w14:textId="437E9360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Community Sourcing</w:t>
            </w:r>
            <w:r w:rsidRPr="002061C8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approaches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to regenerate local</w:t>
            </w:r>
            <w:r w:rsidRPr="002061C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communities</w:t>
            </w:r>
          </w:p>
        </w:tc>
      </w:tr>
      <w:tr w:rsidR="00324665" w:rsidRPr="002061C8" w14:paraId="7E1015B4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ECCE36C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3D9881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710407C" w14:textId="77777777" w:rsidR="00324665" w:rsidRPr="00324665" w:rsidRDefault="00324665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586DB05" w14:textId="77777777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618D1FF6" w14:textId="69E8A702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Cash donation</w:t>
            </w:r>
          </w:p>
        </w:tc>
      </w:tr>
      <w:tr w:rsidR="00324665" w:rsidRPr="002061C8" w14:paraId="5DA4D15D" w14:textId="77777777" w:rsidTr="00C149C4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64594D9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6C2765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E300A02" w14:textId="77777777" w:rsidR="00324665" w:rsidRPr="00324665" w:rsidRDefault="00324665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23FCD109" w14:textId="77777777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34EC05BC" w14:textId="53C290CE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Pro bono time offered to the community</w:t>
            </w:r>
          </w:p>
        </w:tc>
      </w:tr>
      <w:tr w:rsidR="00324665" w:rsidRPr="002061C8" w14:paraId="63A9AEC5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1700D559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0574C7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A5DA7AB" w14:textId="77777777" w:rsidR="00324665" w:rsidRPr="00324665" w:rsidRDefault="00324665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25F63FDC" w14:textId="77777777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72FCB49C" w14:textId="4EBF2E47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Creation of new jobs</w:t>
            </w:r>
          </w:p>
        </w:tc>
      </w:tr>
      <w:tr w:rsidR="00324665" w:rsidRPr="002061C8" w14:paraId="516C74F6" w14:textId="77777777" w:rsidTr="00C149C4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FA29D32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757B01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1FCA84F" w14:textId="77777777" w:rsidR="00324665" w:rsidRPr="00324665" w:rsidRDefault="00324665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34D1BB76" w14:textId="77777777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6D1172C2" w14:textId="085F8DF2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Business to business skill</w:t>
            </w:r>
            <w:r w:rsidRPr="002061C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support</w:t>
            </w:r>
          </w:p>
        </w:tc>
      </w:tr>
      <w:tr w:rsidR="00324665" w:rsidRPr="002061C8" w14:paraId="46E08E94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172FAD1F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112CA5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CEA7A1F" w14:textId="21443EB6" w:rsidR="00324665" w:rsidRPr="002061C8" w:rsidRDefault="00324665" w:rsidP="00324665">
            <w:pPr>
              <w:pStyle w:val="TableParagraph"/>
              <w:ind w:right="7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F2E6294" w14:textId="77777777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4A5C02B4" w14:textId="3B29D71E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Provide opportunities to become part</w:t>
            </w:r>
            <w:r w:rsidRPr="002061C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of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the supply</w:t>
            </w:r>
            <w:r w:rsidRPr="002061C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chain</w:t>
            </w:r>
          </w:p>
        </w:tc>
      </w:tr>
      <w:tr w:rsidR="00324665" w:rsidRPr="002061C8" w14:paraId="1895CCA9" w14:textId="77777777" w:rsidTr="00C14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FA20A29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66CBBEF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4728F2D" w14:textId="77777777" w:rsidR="00324665" w:rsidRPr="002061C8" w:rsidRDefault="00324665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32C63C4F" w14:textId="77777777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39EB7289" w14:textId="4188A8F3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Work with VCSE sector to create</w:t>
            </w:r>
            <w:r w:rsidRPr="002061C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increased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volunteering opportunities in the</w:t>
            </w:r>
            <w:r w:rsidRPr="002061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borough</w:t>
            </w:r>
          </w:p>
        </w:tc>
      </w:tr>
      <w:tr w:rsidR="00324665" w:rsidRPr="002061C8" w14:paraId="482795C0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5ADFC24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AEE0DF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5F5A526" w14:textId="77777777" w:rsidR="00324665" w:rsidRPr="002061C8" w:rsidRDefault="00324665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16112F80" w14:textId="77777777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6BCD9059" w14:textId="7A0467DB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 xml:space="preserve">Use of local </w:t>
            </w:r>
            <w:proofErr w:type="spellStart"/>
            <w:r w:rsidRPr="002061C8">
              <w:rPr>
                <w:rFonts w:ascii="Arial" w:eastAsia="Calibri" w:hAnsi="Arial" w:cs="Arial"/>
                <w:sz w:val="24"/>
                <w:szCs w:val="24"/>
              </w:rPr>
              <w:t>labour</w:t>
            </w:r>
            <w:proofErr w:type="spellEnd"/>
          </w:p>
        </w:tc>
      </w:tr>
      <w:tr w:rsidR="00324665" w:rsidRPr="002061C8" w14:paraId="1F666C28" w14:textId="77777777" w:rsidTr="00C14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00A195E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7BD855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026FCAA" w14:textId="77777777" w:rsidR="00324665" w:rsidRPr="002061C8" w:rsidRDefault="00324665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90CC213" w14:textId="77777777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42B7C752" w14:textId="2C580D8E" w:rsidR="00324665" w:rsidRPr="002061C8" w:rsidRDefault="00324665" w:rsidP="00324665">
            <w:pPr>
              <w:pStyle w:val="TableParagraph"/>
              <w:ind w:right="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Apprenticeships created</w:t>
            </w:r>
          </w:p>
        </w:tc>
      </w:tr>
      <w:tr w:rsidR="00324665" w:rsidRPr="002061C8" w14:paraId="71ED171E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E7F226B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584121" w14:textId="77777777" w:rsidR="00324665" w:rsidRPr="002061C8" w:rsidRDefault="00324665" w:rsidP="0032466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AC77C28" w14:textId="77777777" w:rsidR="00324665" w:rsidRPr="002061C8" w:rsidRDefault="00324665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71D16FD" w14:textId="77777777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51F2FD52" w14:textId="097E234E" w:rsidR="00324665" w:rsidRPr="002061C8" w:rsidRDefault="00324665" w:rsidP="00324665">
            <w:pPr>
              <w:pStyle w:val="TableParagraph"/>
              <w:ind w:righ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Use of local suppliers</w:t>
            </w:r>
          </w:p>
        </w:tc>
      </w:tr>
      <w:tr w:rsidR="00324665" w:rsidRPr="002061C8" w14:paraId="15C5D043" w14:textId="77777777" w:rsidTr="00C14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3652EFE" w14:textId="77777777" w:rsidR="00324665" w:rsidRPr="002061C8" w:rsidRDefault="00324665" w:rsidP="00324665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C88CEE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7D36B50" w14:textId="77777777" w:rsidR="00324665" w:rsidRPr="002061C8" w:rsidRDefault="00324665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1A311C3" w14:textId="77777777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34C8C8A2" w14:textId="4207D5D5" w:rsidR="00324665" w:rsidRPr="002061C8" w:rsidRDefault="00324665" w:rsidP="0032466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Use of local skills</w:t>
            </w:r>
          </w:p>
        </w:tc>
      </w:tr>
      <w:tr w:rsidR="00CE59DE" w:rsidRPr="002061C8" w14:paraId="7BDBB307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1F5349DF" w14:textId="3845C1D1" w:rsidR="00CE59DE" w:rsidRPr="002061C8" w:rsidRDefault="00CE59DE" w:rsidP="00CE59DE">
            <w:pPr>
              <w:rPr>
                <w:rFonts w:ascii="Arial" w:eastAsia="Calibri" w:hAnsi="Arial" w:cs="Arial"/>
                <w:bCs w:val="0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Environment</w:t>
            </w:r>
          </w:p>
        </w:tc>
        <w:tc>
          <w:tcPr>
            <w:tcW w:w="1418" w:type="dxa"/>
            <w:vMerge w:val="restart"/>
          </w:tcPr>
          <w:p w14:paraId="5945A8A8" w14:textId="144C7573" w:rsidR="00CE59DE" w:rsidRPr="002061C8" w:rsidRDefault="00CE59DE" w:rsidP="00324665">
            <w:pPr>
              <w:pStyle w:val="TableParagraph"/>
              <w:ind w:righ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24665">
              <w:rPr>
                <w:rFonts w:ascii="Arial" w:eastAsia="Calibri" w:hAnsi="Arial" w:cs="Arial"/>
                <w:bCs/>
                <w:sz w:val="24"/>
                <w:szCs w:val="24"/>
              </w:rPr>
              <w:t>Achieving Net Zero by 2040</w:t>
            </w:r>
          </w:p>
        </w:tc>
        <w:tc>
          <w:tcPr>
            <w:tcW w:w="3402" w:type="dxa"/>
          </w:tcPr>
          <w:p w14:paraId="60641B28" w14:textId="6745BA35" w:rsidR="00CE59DE" w:rsidRPr="002061C8" w:rsidRDefault="00CE59DE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E59DE">
              <w:rPr>
                <w:rFonts w:ascii="Arial" w:eastAsia="Calibri" w:hAnsi="Arial" w:cs="Arial"/>
                <w:bCs/>
                <w:sz w:val="24"/>
                <w:szCs w:val="24"/>
              </w:rPr>
              <w:t>Delivering the Council’s own commitments to achieve Net Zero</w:t>
            </w:r>
          </w:p>
        </w:tc>
        <w:tc>
          <w:tcPr>
            <w:tcW w:w="3974" w:type="dxa"/>
            <w:vMerge w:val="restart"/>
          </w:tcPr>
          <w:p w14:paraId="54D5FAB1" w14:textId="423258FE" w:rsidR="00CE59DE" w:rsidRPr="002061C8" w:rsidRDefault="00CE59DE" w:rsidP="00324665">
            <w:pPr>
              <w:pStyle w:val="TableParagraph"/>
              <w:ind w:right="1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CE59DE">
              <w:rPr>
                <w:rFonts w:ascii="Arial" w:eastAsia="Calibri" w:hAnsi="Arial" w:cs="Arial"/>
                <w:sz w:val="24"/>
                <w:szCs w:val="24"/>
              </w:rPr>
              <w:t>Embed Net Zero in all that the Council does</w:t>
            </w:r>
          </w:p>
        </w:tc>
        <w:tc>
          <w:tcPr>
            <w:tcW w:w="4966" w:type="dxa"/>
          </w:tcPr>
          <w:p w14:paraId="7B72BD79" w14:textId="26E88466" w:rsidR="00CE59DE" w:rsidRPr="002061C8" w:rsidRDefault="00CE59DE" w:rsidP="00CE59D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Use </w:t>
            </w:r>
            <w:r w:rsidRPr="002061C8">
              <w:rPr>
                <w:rFonts w:ascii="Arial" w:eastAsia="Calibri" w:hAnsi="Arial" w:cs="Arial"/>
                <w:sz w:val="24"/>
                <w:szCs w:val="24"/>
              </w:rPr>
              <w:t>products from sustainable sources, increase in recycling, minimization of waste and re-use of resources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on site</w:t>
            </w:r>
          </w:p>
        </w:tc>
      </w:tr>
      <w:tr w:rsidR="00CE59DE" w:rsidRPr="002061C8" w14:paraId="11383CDC" w14:textId="77777777" w:rsidTr="00C149C4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63A8E0DE" w14:textId="77777777" w:rsidR="00CE59DE" w:rsidRPr="002061C8" w:rsidRDefault="00CE59DE" w:rsidP="00324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C79B1C" w14:textId="77777777" w:rsidR="00CE59DE" w:rsidRPr="00324665" w:rsidRDefault="00CE59DE" w:rsidP="00324665">
            <w:pPr>
              <w:pStyle w:val="TableParagraph"/>
              <w:ind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49661AD" w14:textId="0589B8F1" w:rsidR="00CE59DE" w:rsidRPr="00CE59DE" w:rsidRDefault="00CE59DE" w:rsidP="0032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E59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Leading the way - working with partner </w:t>
            </w:r>
            <w:proofErr w:type="spellStart"/>
            <w:r w:rsidRPr="00CE59DE">
              <w:rPr>
                <w:rFonts w:ascii="Arial" w:eastAsia="Calibri" w:hAnsi="Arial" w:cs="Arial"/>
                <w:bCs/>
                <w:sz w:val="24"/>
                <w:szCs w:val="24"/>
              </w:rPr>
              <w:t>organisations</w:t>
            </w:r>
            <w:proofErr w:type="spellEnd"/>
            <w:r w:rsidRPr="00CE59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in the public and private sectors</w:t>
            </w:r>
          </w:p>
        </w:tc>
        <w:tc>
          <w:tcPr>
            <w:tcW w:w="3974" w:type="dxa"/>
            <w:vMerge/>
          </w:tcPr>
          <w:p w14:paraId="782E2840" w14:textId="77777777" w:rsidR="00CE59DE" w:rsidRPr="00CE59DE" w:rsidRDefault="00CE59DE" w:rsidP="00324665">
            <w:pPr>
              <w:pStyle w:val="TableParagraph"/>
              <w:ind w:right="11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1DCB0980" w14:textId="47C61060" w:rsidR="00CE59DE" w:rsidRDefault="00CE59DE" w:rsidP="00CE59DE">
            <w:pPr>
              <w:pStyle w:val="TableParagraph"/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Reduce the amount of waste</w:t>
            </w:r>
            <w:r w:rsidRPr="002061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generated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on site</w:t>
            </w:r>
          </w:p>
        </w:tc>
      </w:tr>
      <w:tr w:rsidR="00CE59DE" w:rsidRPr="002061C8" w14:paraId="558723C3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58370BB" w14:textId="77777777" w:rsidR="00CE59DE" w:rsidRPr="002061C8" w:rsidRDefault="00CE59DE" w:rsidP="00324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88813D" w14:textId="77777777" w:rsidR="00CE59DE" w:rsidRPr="00324665" w:rsidRDefault="00CE59DE" w:rsidP="00324665">
            <w:pPr>
              <w:pStyle w:val="TableParagraph"/>
              <w:ind w:righ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5D2C9B1" w14:textId="308F53AC" w:rsidR="00CE59DE" w:rsidRPr="00CE59DE" w:rsidRDefault="00CE59DE" w:rsidP="0032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22905E8C" w14:textId="77777777" w:rsidR="00CE59DE" w:rsidRPr="00CE59DE" w:rsidRDefault="00CE59DE" w:rsidP="00324665">
            <w:pPr>
              <w:pStyle w:val="TableParagraph"/>
              <w:ind w:right="11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1787F322" w14:textId="3C92F707" w:rsidR="00CE59DE" w:rsidRDefault="00CE59DE" w:rsidP="00CE59D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Reduce energy</w:t>
            </w:r>
            <w:r w:rsidRPr="002061C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consumption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on site</w:t>
            </w:r>
          </w:p>
        </w:tc>
      </w:tr>
      <w:tr w:rsidR="00CE59DE" w:rsidRPr="002061C8" w14:paraId="0269A1A3" w14:textId="77777777" w:rsidTr="00C149C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BF31069" w14:textId="77777777" w:rsidR="00CE59DE" w:rsidRPr="002061C8" w:rsidRDefault="00CE59DE" w:rsidP="00324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C968FC" w14:textId="77777777" w:rsidR="00CE59DE" w:rsidRPr="002061C8" w:rsidRDefault="00CE59DE" w:rsidP="00324665">
            <w:pPr>
              <w:pStyle w:val="TableParagraph"/>
              <w:ind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7CD410C" w14:textId="660E205F" w:rsidR="00CE59DE" w:rsidRPr="002061C8" w:rsidRDefault="00CE59DE" w:rsidP="00CE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E59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Communities – working with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communities</w:t>
            </w:r>
          </w:p>
        </w:tc>
        <w:tc>
          <w:tcPr>
            <w:tcW w:w="3974" w:type="dxa"/>
            <w:vMerge w:val="restart"/>
          </w:tcPr>
          <w:p w14:paraId="6C615EAE" w14:textId="77BD3B03" w:rsidR="00CE59DE" w:rsidRPr="002061C8" w:rsidRDefault="00CE59DE" w:rsidP="00CE59D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E59DE">
              <w:rPr>
                <w:rFonts w:ascii="Arial" w:hAnsi="Arial" w:cs="Arial"/>
                <w:sz w:val="24"/>
                <w:szCs w:val="24"/>
              </w:rPr>
              <w:t>Developing a clear plan for the whole of the Borough - working with partner agencies to develop and implement a plan which identifies the measures which can be taken to stem climate change and achieve Net Zer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966" w:type="dxa"/>
          </w:tcPr>
          <w:p w14:paraId="2845375D" w14:textId="615B483C" w:rsidR="00CE59DE" w:rsidRPr="002061C8" w:rsidRDefault="00CE59DE" w:rsidP="00C149C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Calibri" w:hAnsi="Arial" w:cs="Arial"/>
                <w:sz w:val="24"/>
                <w:szCs w:val="24"/>
              </w:rPr>
              <w:t>Use of products from sustainable sources, increase in recycling, minimization of waste</w:t>
            </w:r>
            <w:r w:rsidR="00C149C4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2061C8">
              <w:rPr>
                <w:rFonts w:ascii="Arial" w:eastAsia="Calibri" w:hAnsi="Arial" w:cs="Arial"/>
                <w:sz w:val="24"/>
                <w:szCs w:val="24"/>
              </w:rPr>
              <w:t xml:space="preserve"> and re-use of resources</w:t>
            </w:r>
          </w:p>
        </w:tc>
      </w:tr>
      <w:tr w:rsidR="00CE59DE" w:rsidRPr="002061C8" w14:paraId="234A1025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B820117" w14:textId="77777777" w:rsidR="00CE59DE" w:rsidRPr="002061C8" w:rsidRDefault="00CE59DE" w:rsidP="00CE59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570A168" w14:textId="77777777" w:rsidR="00CE59DE" w:rsidRPr="002061C8" w:rsidRDefault="00CE59DE" w:rsidP="00CE59DE">
            <w:pPr>
              <w:pStyle w:val="TableParagraph"/>
              <w:ind w:righ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CECC249" w14:textId="6B909ABA" w:rsidR="00CE59DE" w:rsidRPr="002061C8" w:rsidRDefault="00CE59DE" w:rsidP="00CE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31E64A81" w14:textId="77777777" w:rsidR="00CE59DE" w:rsidRPr="002061C8" w:rsidRDefault="00CE59DE" w:rsidP="00CE59D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6AC5047D" w14:textId="30C521DA" w:rsidR="00CE59DE" w:rsidRPr="00CE59DE" w:rsidRDefault="00CE59DE" w:rsidP="00C149C4">
            <w:pPr>
              <w:pStyle w:val="TableParagraph"/>
              <w:tabs>
                <w:tab w:val="left" w:pos="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99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Reduce the amount of waste</w:t>
            </w:r>
            <w:r w:rsidRPr="002061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generated</w:t>
            </w:r>
            <w:r w:rsidRPr="002061C8">
              <w:rPr>
                <w:rFonts w:ascii="Arial" w:hAnsi="Arial" w:cs="Arial"/>
                <w:w w:val="99"/>
                <w:sz w:val="24"/>
                <w:szCs w:val="24"/>
              </w:rPr>
              <w:t xml:space="preserve"> </w:t>
            </w:r>
          </w:p>
        </w:tc>
      </w:tr>
      <w:tr w:rsidR="00CE59DE" w:rsidRPr="002061C8" w14:paraId="21BC547B" w14:textId="77777777" w:rsidTr="00C149C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E54C475" w14:textId="77777777" w:rsidR="00CE59DE" w:rsidRPr="002061C8" w:rsidRDefault="00CE59DE" w:rsidP="00CE59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016B7B" w14:textId="77777777" w:rsidR="00CE59DE" w:rsidRPr="002061C8" w:rsidRDefault="00CE59DE" w:rsidP="00CE59DE">
            <w:pPr>
              <w:pStyle w:val="TableParagraph"/>
              <w:ind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285499E" w14:textId="77777777" w:rsidR="00CE59DE" w:rsidRPr="002061C8" w:rsidRDefault="00CE59DE" w:rsidP="00CE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E65F682" w14:textId="77777777" w:rsidR="00CE59DE" w:rsidRPr="002061C8" w:rsidRDefault="00CE59DE" w:rsidP="00CE59D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38AEB757" w14:textId="15B06B2F" w:rsidR="00CE59DE" w:rsidRPr="002061C8" w:rsidRDefault="00CE59DE" w:rsidP="00C149C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Reduce energy</w:t>
            </w:r>
            <w:r w:rsidRPr="002061C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consumption</w:t>
            </w:r>
          </w:p>
        </w:tc>
      </w:tr>
      <w:tr w:rsidR="00CE59DE" w:rsidRPr="002061C8" w14:paraId="1A23E84C" w14:textId="77777777" w:rsidTr="00C14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C3F06F9" w14:textId="77777777" w:rsidR="00CE59DE" w:rsidRPr="002061C8" w:rsidRDefault="00CE59DE" w:rsidP="00CE59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8FB548E" w14:textId="77777777" w:rsidR="00CE59DE" w:rsidRPr="002061C8" w:rsidRDefault="00CE59DE" w:rsidP="00CE59DE">
            <w:pPr>
              <w:pStyle w:val="TableParagraph"/>
              <w:ind w:right="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CE773C0" w14:textId="77777777" w:rsidR="00CE59DE" w:rsidRPr="00CE59DE" w:rsidRDefault="00CE59DE" w:rsidP="00CE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46504E03" w14:textId="77777777" w:rsidR="00CE59DE" w:rsidRPr="002061C8" w:rsidRDefault="00CE59DE" w:rsidP="00CE59D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11CDAAF3" w14:textId="6E93720A" w:rsidR="00CE59DE" w:rsidRPr="002061C8" w:rsidRDefault="00CE59DE" w:rsidP="00C149C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hAnsi="Arial" w:cs="Arial"/>
                <w:sz w:val="24"/>
                <w:szCs w:val="24"/>
              </w:rPr>
              <w:t>Support sustainable</w:t>
            </w:r>
            <w:r w:rsidRPr="002061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061C8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</w:tr>
      <w:tr w:rsidR="00CE59DE" w:rsidRPr="002061C8" w14:paraId="6F4BA72A" w14:textId="77777777" w:rsidTr="00C149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4E09EFD7" w14:textId="77777777" w:rsidR="00CE59DE" w:rsidRPr="002061C8" w:rsidRDefault="00CE59DE" w:rsidP="00CE59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42ECA9" w14:textId="77777777" w:rsidR="00CE59DE" w:rsidRPr="002061C8" w:rsidRDefault="00CE59DE" w:rsidP="00CE59DE">
            <w:pPr>
              <w:pStyle w:val="TableParagraph"/>
              <w:ind w:right="1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87DFC45" w14:textId="77777777" w:rsidR="00CE59DE" w:rsidRPr="00CE59DE" w:rsidRDefault="00CE59DE" w:rsidP="00CE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14:paraId="344393B2" w14:textId="77777777" w:rsidR="00CE59DE" w:rsidRPr="002061C8" w:rsidRDefault="00CE59DE" w:rsidP="00CE59D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6" w:type="dxa"/>
          </w:tcPr>
          <w:p w14:paraId="1F85E916" w14:textId="4458DC9C" w:rsidR="00CE59DE" w:rsidRPr="002061C8" w:rsidRDefault="00CE59DE" w:rsidP="00C149C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061C8">
              <w:rPr>
                <w:rFonts w:ascii="Arial" w:eastAsia="Times New Roman" w:hAnsi="Arial" w:cs="Arial"/>
                <w:sz w:val="24"/>
                <w:szCs w:val="24"/>
              </w:rPr>
              <w:t>Public spaces improved and secured</w:t>
            </w:r>
          </w:p>
        </w:tc>
      </w:tr>
    </w:tbl>
    <w:p w14:paraId="2C9C4919" w14:textId="77777777" w:rsidR="003054F9" w:rsidRPr="002061C8" w:rsidRDefault="003054F9" w:rsidP="00CE59DE">
      <w:pPr>
        <w:pStyle w:val="Heading2"/>
        <w:spacing w:before="34" w:line="362" w:lineRule="auto"/>
        <w:ind w:left="0"/>
        <w:rPr>
          <w:rFonts w:ascii="Arial" w:hAnsi="Arial" w:cs="Arial"/>
          <w:sz w:val="24"/>
          <w:szCs w:val="24"/>
        </w:rPr>
      </w:pPr>
    </w:p>
    <w:sectPr w:rsidR="003054F9" w:rsidRPr="002061C8" w:rsidSect="002061C8">
      <w:headerReference w:type="default" r:id="rId12"/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602A" w14:textId="77777777" w:rsidR="00170423" w:rsidRDefault="00170423">
      <w:r>
        <w:separator/>
      </w:r>
    </w:p>
  </w:endnote>
  <w:endnote w:type="continuationSeparator" w:id="0">
    <w:p w14:paraId="5F2B0CCD" w14:textId="77777777" w:rsidR="00170423" w:rsidRDefault="0017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BE4D" w14:textId="77777777" w:rsidR="00170423" w:rsidRDefault="00170423">
      <w:r>
        <w:separator/>
      </w:r>
    </w:p>
  </w:footnote>
  <w:footnote w:type="continuationSeparator" w:id="0">
    <w:p w14:paraId="5D044162" w14:textId="77777777" w:rsidR="00170423" w:rsidRDefault="0017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3FBF" w14:textId="3FE0D937" w:rsidR="0081399A" w:rsidRDefault="0081399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195E"/>
    <w:multiLevelType w:val="hybridMultilevel"/>
    <w:tmpl w:val="A3187B1E"/>
    <w:lvl w:ilvl="0" w:tplc="D566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F2DE2"/>
    <w:multiLevelType w:val="hybridMultilevel"/>
    <w:tmpl w:val="E9A4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543EA"/>
    <w:multiLevelType w:val="hybridMultilevel"/>
    <w:tmpl w:val="892C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F0CC6"/>
    <w:multiLevelType w:val="hybridMultilevel"/>
    <w:tmpl w:val="562C5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303E"/>
    <w:multiLevelType w:val="hybridMultilevel"/>
    <w:tmpl w:val="06DED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FA5"/>
    <w:rsid w:val="00052FB8"/>
    <w:rsid w:val="000A697A"/>
    <w:rsid w:val="0010135B"/>
    <w:rsid w:val="00111844"/>
    <w:rsid w:val="00117556"/>
    <w:rsid w:val="00170423"/>
    <w:rsid w:val="001940E5"/>
    <w:rsid w:val="001D1A64"/>
    <w:rsid w:val="001E23D6"/>
    <w:rsid w:val="002061C8"/>
    <w:rsid w:val="00240985"/>
    <w:rsid w:val="00241887"/>
    <w:rsid w:val="00260A4A"/>
    <w:rsid w:val="00293694"/>
    <w:rsid w:val="003054F9"/>
    <w:rsid w:val="00311B56"/>
    <w:rsid w:val="00324665"/>
    <w:rsid w:val="003D234C"/>
    <w:rsid w:val="003E0237"/>
    <w:rsid w:val="003E152B"/>
    <w:rsid w:val="003F7E31"/>
    <w:rsid w:val="00442300"/>
    <w:rsid w:val="00450C9C"/>
    <w:rsid w:val="004B1812"/>
    <w:rsid w:val="00534F3B"/>
    <w:rsid w:val="005764B8"/>
    <w:rsid w:val="005C2865"/>
    <w:rsid w:val="005F39EE"/>
    <w:rsid w:val="00612E58"/>
    <w:rsid w:val="00622F36"/>
    <w:rsid w:val="007505EC"/>
    <w:rsid w:val="007625F3"/>
    <w:rsid w:val="007A2C6A"/>
    <w:rsid w:val="007A31DD"/>
    <w:rsid w:val="007A6F50"/>
    <w:rsid w:val="007B4F0B"/>
    <w:rsid w:val="007C5DEB"/>
    <w:rsid w:val="0081399A"/>
    <w:rsid w:val="00842599"/>
    <w:rsid w:val="00864027"/>
    <w:rsid w:val="00894C14"/>
    <w:rsid w:val="008954DF"/>
    <w:rsid w:val="008B28CA"/>
    <w:rsid w:val="00902482"/>
    <w:rsid w:val="00957C69"/>
    <w:rsid w:val="00981310"/>
    <w:rsid w:val="009C1927"/>
    <w:rsid w:val="009D184E"/>
    <w:rsid w:val="009D4704"/>
    <w:rsid w:val="009F6D6E"/>
    <w:rsid w:val="009F7080"/>
    <w:rsid w:val="009F7C04"/>
    <w:rsid w:val="00A30673"/>
    <w:rsid w:val="00AD2337"/>
    <w:rsid w:val="00AE2FC5"/>
    <w:rsid w:val="00B2070E"/>
    <w:rsid w:val="00B8062B"/>
    <w:rsid w:val="00B94A8A"/>
    <w:rsid w:val="00BA1105"/>
    <w:rsid w:val="00BB4CD2"/>
    <w:rsid w:val="00BC6033"/>
    <w:rsid w:val="00BD7BFC"/>
    <w:rsid w:val="00C149C4"/>
    <w:rsid w:val="00C22B6D"/>
    <w:rsid w:val="00C333D0"/>
    <w:rsid w:val="00C44FFD"/>
    <w:rsid w:val="00CC34E4"/>
    <w:rsid w:val="00CD02DD"/>
    <w:rsid w:val="00CE59DE"/>
    <w:rsid w:val="00CF59E8"/>
    <w:rsid w:val="00D63838"/>
    <w:rsid w:val="00D85EFF"/>
    <w:rsid w:val="00D9579C"/>
    <w:rsid w:val="00D96B1F"/>
    <w:rsid w:val="00DD14CA"/>
    <w:rsid w:val="00DD323A"/>
    <w:rsid w:val="00E11C0F"/>
    <w:rsid w:val="00E775CD"/>
    <w:rsid w:val="00E93FA5"/>
    <w:rsid w:val="00EB7F9E"/>
    <w:rsid w:val="00EC39BA"/>
    <w:rsid w:val="00EC7EDE"/>
    <w:rsid w:val="00F5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E3EC1"/>
  <w15:docId w15:val="{C18352A6-AD40-4ADF-A535-E67218EC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FA5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E93FA5"/>
    <w:pPr>
      <w:ind w:left="100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93FA5"/>
    <w:rPr>
      <w:rFonts w:ascii="Calibri" w:eastAsia="Calibri" w:hAnsi="Calibri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93FA5"/>
    <w:pPr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93FA5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E93FA5"/>
  </w:style>
  <w:style w:type="paragraph" w:styleId="Header">
    <w:name w:val="header"/>
    <w:basedOn w:val="Normal"/>
    <w:link w:val="HeaderChar"/>
    <w:uiPriority w:val="99"/>
    <w:unhideWhenUsed/>
    <w:rsid w:val="00AE2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F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2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FC5"/>
    <w:rPr>
      <w:lang w:val="en-US"/>
    </w:rPr>
  </w:style>
  <w:style w:type="paragraph" w:styleId="ListParagraph">
    <w:name w:val="List Paragraph"/>
    <w:aliases w:val="Dot pt,List Paragraph Char Char Char,Indicator Text,Numbered Para 1,List Paragraph1,Bullet 1,Bullet Points,MAIN CONTENT,Maire,Colorful List - Accent 11,F5 List Paragraph,List Paragraph2,List Paragraph12,Normal numbered,No Spacing1,L"/>
    <w:basedOn w:val="Normal"/>
    <w:link w:val="ListParagraphChar"/>
    <w:uiPriority w:val="34"/>
    <w:qFormat/>
    <w:rsid w:val="00902482"/>
    <w:pPr>
      <w:ind w:left="720"/>
      <w:contextualSpacing/>
    </w:pPr>
  </w:style>
  <w:style w:type="table" w:styleId="TableGrid">
    <w:name w:val="Table Grid"/>
    <w:basedOn w:val="TableNormal"/>
    <w:uiPriority w:val="59"/>
    <w:rsid w:val="0086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31"/>
    <w:rPr>
      <w:rFonts w:ascii="Tahoma" w:hAnsi="Tahoma" w:cs="Tahoma"/>
      <w:sz w:val="16"/>
      <w:szCs w:val="16"/>
      <w:lang w:val="en-US"/>
    </w:rPr>
  </w:style>
  <w:style w:type="paragraph" w:customStyle="1" w:styleId="Heading1STAR">
    <w:name w:val="Heading 1(STAR)"/>
    <w:basedOn w:val="Heading1"/>
    <w:link w:val="Heading1STARChar"/>
    <w:qFormat/>
    <w:rsid w:val="00D9579C"/>
    <w:pPr>
      <w:widowControl/>
      <w:spacing w:before="480" w:line="276" w:lineRule="auto"/>
    </w:pPr>
    <w:rPr>
      <w:rFonts w:ascii="Tahoma" w:hAnsi="Tahoma"/>
      <w:b/>
      <w:bCs/>
      <w:color w:val="008080"/>
      <w:sz w:val="52"/>
      <w:szCs w:val="28"/>
      <w:lang w:val="en-GB"/>
    </w:rPr>
  </w:style>
  <w:style w:type="character" w:customStyle="1" w:styleId="Heading1STARChar">
    <w:name w:val="Heading 1(STAR) Char"/>
    <w:basedOn w:val="DefaultParagraphFont"/>
    <w:link w:val="Heading1STAR"/>
    <w:rsid w:val="00D9579C"/>
    <w:rPr>
      <w:rFonts w:ascii="Tahoma" w:eastAsiaTheme="majorEastAsia" w:hAnsi="Tahoma" w:cstheme="majorBidi"/>
      <w:b/>
      <w:bCs/>
      <w:color w:val="008080"/>
      <w:sz w:val="5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957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ListTable3-Accent2">
    <w:name w:val="List Table 3 Accent 2"/>
    <w:basedOn w:val="TableNormal"/>
    <w:uiPriority w:val="48"/>
    <w:rsid w:val="003054F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B1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812"/>
    <w:rPr>
      <w:sz w:val="20"/>
      <w:szCs w:val="20"/>
      <w:lang w:val="en-US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1 Char,Bullet Points Char,MAIN CONTENT Char,Maire Char,Colorful List - Accent 11 Char,F5 List Paragraph Char,L Char"/>
    <w:basedOn w:val="DefaultParagraphFont"/>
    <w:link w:val="ListParagraph"/>
    <w:uiPriority w:val="34"/>
    <w:locked/>
    <w:rsid w:val="004B18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0D8CA374D054BB63AD8DB580A1694" ma:contentTypeVersion="1" ma:contentTypeDescription="Create a new document." ma:contentTypeScope="" ma:versionID="b04379be2f965de21ed215810a9c972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B7305-6ECF-4E6A-A316-230140955E3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7D0B67-E213-4911-91B8-484A68EE4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27C1BBE-AE19-4F1C-956A-7F7AAC450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7870C8-D907-4190-8144-7075C7020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KMBC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Derby, Angela</dc:creator>
  <cp:lastModifiedBy>Sellors, Michael</cp:lastModifiedBy>
  <cp:revision>8</cp:revision>
  <cp:lastPrinted>2017-12-12T11:15:00Z</cp:lastPrinted>
  <dcterms:created xsi:type="dcterms:W3CDTF">2022-03-10T16:22:00Z</dcterms:created>
  <dcterms:modified xsi:type="dcterms:W3CDTF">2022-12-08T11:38:00Z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0x010100CB70D8CA374D054BB63AD8DB580A1694</vt:lpwstr>
  </property>
</Properties>
</file>